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25                        R2-2400211</w:t>
      </w:r>
    </w:p>
    <w:p>
      <w:pPr>
        <w:pStyle w:val="8"/>
        <w:rPr>
          <w:rFonts w:hint="eastAsia" w:eastAsia="宋体"/>
          <w:lang w:val="en-US" w:eastAsia="zh-CN"/>
        </w:rPr>
      </w:pPr>
      <w:r>
        <w:rPr>
          <w:rFonts w:hint="eastAsia" w:eastAsia="宋体"/>
          <w:lang w:val="en-US" w:eastAsia="zh-CN"/>
        </w:rPr>
        <w:t>Athens</w:t>
      </w:r>
      <w:r>
        <w:t xml:space="preserve">, </w:t>
      </w:r>
      <w:r>
        <w:rPr>
          <w:rFonts w:hint="eastAsia" w:eastAsia="宋体"/>
          <w:lang w:val="en-US" w:eastAsia="zh-CN"/>
        </w:rPr>
        <w:t>Greece</w:t>
      </w:r>
      <w:r>
        <w:t xml:space="preserve">, </w:t>
      </w:r>
      <w:r>
        <w:rPr>
          <w:rFonts w:hint="eastAsia" w:eastAsia="宋体"/>
          <w:lang w:val="en-US" w:eastAsia="zh-CN"/>
        </w:rPr>
        <w:t>Feb.</w:t>
      </w:r>
      <w:r>
        <w:t xml:space="preserve"> </w:t>
      </w:r>
      <w:r>
        <w:rPr>
          <w:rFonts w:hint="eastAsia" w:eastAsia="宋体"/>
          <w:lang w:val="en-US" w:eastAsia="zh-CN"/>
        </w:rPr>
        <w:t>26</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Mar.</w:t>
      </w:r>
      <w:r>
        <w:t xml:space="preserve"> </w:t>
      </w:r>
      <w:r>
        <w:rPr>
          <w:rFonts w:hint="eastAsia" w:eastAsia="宋体"/>
          <w:lang w:val="en-US" w:eastAsia="zh-CN"/>
        </w:rPr>
        <w:t>1</w:t>
      </w:r>
      <w:r>
        <w:rPr>
          <w:rFonts w:hint="eastAsia" w:eastAsia="宋体"/>
          <w:vertAlign w:val="superscript"/>
          <w:lang w:val="en-US" w:eastAsia="zh-CN"/>
        </w:rPr>
        <w:t>st</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bookmarkStart w:id="2" w:name="_GoBack"/>
      <w:bookmarkEnd w:id="2"/>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remaining issues on HARQ enhancement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0" w:name="_Ref488331639"/>
      <w:r>
        <w:t>Introduction</w:t>
      </w:r>
      <w:bookmarkEnd w:id="0"/>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HARQ enhancemen</w:t>
      </w:r>
      <w:r>
        <w:rPr>
          <w:rFonts w:hint="eastAsia" w:ascii="Times New Roman" w:hAnsi="Times New Roman" w:eastAsia="宋体" w:cs="Times New Roman"/>
          <w:sz w:val="22"/>
          <w:szCs w:val="22"/>
          <w:lang w:val="en-US" w:eastAsia="zh-CN"/>
        </w:rPr>
        <w:t xml:space="preserve">t for IoT-NTN </w:t>
      </w:r>
      <w:r>
        <w:rPr>
          <w:rFonts w:hint="default" w:ascii="Times New Roman" w:hAnsi="Times New Roman" w:eastAsia="MS Mincho" w:cs="Times New Roman"/>
          <w:sz w:val="22"/>
          <w:szCs w:val="22"/>
        </w:rPr>
        <w:t>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[1]</w:t>
      </w:r>
    </w:p>
    <w:p>
      <w:pPr>
        <w:pStyle w:val="16"/>
        <w:numPr>
          <w:ilvl w:val="0"/>
          <w:numId w:val="4"/>
        </w:numPr>
        <w:pBdr>
          <w:top w:val="single" w:color="auto" w:sz="4" w:space="1"/>
          <w:left w:val="single" w:color="auto" w:sz="4" w:space="4"/>
          <w:bottom w:val="single" w:color="auto" w:sz="4" w:space="1"/>
          <w:right w:val="single" w:color="auto" w:sz="4" w:space="4"/>
        </w:pBdr>
      </w:pPr>
      <w:r>
        <w:t>For multiple TB scheduling with mixed HARQ feedback enabled/disabled configuration, if HARQ-ACK bundling is not configured, HARQ RTT Timer for HARQ process with HARQ feedback enabled is calculated based on the number of scheduled TBs with HARQ feedback enabled.</w:t>
      </w:r>
    </w:p>
    <w:p>
      <w:pPr>
        <w:pStyle w:val="16"/>
        <w:numPr>
          <w:ilvl w:val="0"/>
          <w:numId w:val="4"/>
        </w:numPr>
        <w:pBdr>
          <w:top w:val="single" w:color="auto" w:sz="4" w:space="1"/>
          <w:left w:val="single" w:color="auto" w:sz="4" w:space="4"/>
          <w:bottom w:val="single" w:color="auto" w:sz="4" w:space="1"/>
          <w:right w:val="single" w:color="auto" w:sz="4" w:space="4"/>
        </w:pBdr>
      </w:pPr>
      <w:r>
        <w:t>For DL multiple TB scheduling for a NB-IoT UE, if both HARQ processes are with disabled HARQ feedback, UE starts drx-InactivityTimer in the subframe containing the last repetition of the PDSCH corresponding to the last scheduled TB plus 12 subframes plus deltaPDCCH.</w:t>
      </w:r>
    </w:p>
    <w:p>
      <w:pPr>
        <w:pStyle w:val="16"/>
        <w:numPr>
          <w:ilvl w:val="0"/>
          <w:numId w:val="4"/>
        </w:numPr>
        <w:pBdr>
          <w:top w:val="single" w:color="auto" w:sz="4" w:space="1"/>
          <w:left w:val="single" w:color="auto" w:sz="4" w:space="4"/>
          <w:bottom w:val="single" w:color="auto" w:sz="4" w:space="1"/>
          <w:right w:val="single" w:color="auto" w:sz="4" w:space="4"/>
        </w:pBdr>
      </w:pPr>
      <w:r>
        <w:t>For UL multiple TB scheduling for a NB-IoT UE, if both HARQ processes are configured with HARQ mode B, UE starts drx-InactivityTimer in the subframe containing the last repetition of the PUSCH corresponding to the last scheduled TB plus 1 subframe plus deltaPDCCH.</w:t>
      </w:r>
    </w:p>
    <w:p>
      <w:pPr>
        <w:pStyle w:val="16"/>
        <w:numPr>
          <w:ilvl w:val="0"/>
          <w:numId w:val="4"/>
        </w:numPr>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sz w:val="22"/>
          <w:szCs w:val="22"/>
          <w:lang w:val="en-US" w:eastAsia="zh-CN"/>
        </w:rPr>
      </w:pPr>
      <w:r>
        <w:t>RAN2 confirms that for both single TB scheduling and multiple TB scheduling. for a HARQ process configured as HARQ feedback enabled by RRC and further reversed to HARQ feedback disabled by DCI, UE behaviour on DRX follows the case when HARQ feedback is disabled</w:t>
      </w:r>
    </w:p>
    <w:p>
      <w:pPr>
        <w:pStyle w:val="6"/>
        <w:spacing w:before="120"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However there are still one open issue regarding the DRX inactivity timer starting during HARQ enabling/disabling in multi-TB scheduling(DL and UL) in NB-IoT. </w:t>
      </w: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lang w:val="en-US" w:eastAsia="zh-CN"/>
        </w:rPr>
        <w:t>this issue</w:t>
      </w:r>
      <w:r>
        <w:rPr>
          <w:rFonts w:hint="default" w:ascii="Times New Roman" w:hAnsi="Times New Roman" w:eastAsia="宋体" w:cs="Times New Roman"/>
          <w:lang w:val="en-US" w:eastAsia="zh-CN"/>
        </w:rPr>
        <w:t>.</w:t>
      </w:r>
    </w:p>
    <w:p>
      <w:pPr>
        <w:pStyle w:val="2"/>
        <w:numPr>
          <w:ilvl w:val="0"/>
          <w:numId w:val="3"/>
        </w:numPr>
        <w:ind w:left="360" w:leftChars="0" w:hanging="360" w:firstLineChars="0"/>
        <w:rPr>
          <w:rFonts w:hint="default" w:eastAsia="宋体"/>
          <w:lang w:val="en-US" w:eastAsia="zh-CN"/>
        </w:rPr>
      </w:pPr>
      <w:r>
        <w:t>Discussion</w:t>
      </w:r>
    </w:p>
    <w:p>
      <w:pPr>
        <w:pStyle w:val="17"/>
        <w:overflowPunct/>
        <w:autoSpaceDE/>
        <w:autoSpaceDN/>
        <w:adjustRightInd/>
        <w:spacing w:line="259" w:lineRule="auto"/>
        <w:textAlignment w:val="auto"/>
        <w:rPr>
          <w:b w:val="0"/>
          <w:bCs w:val="0"/>
          <w:lang w:val="en-US"/>
        </w:rPr>
      </w:pPr>
      <w:r>
        <w:rPr>
          <w:rFonts w:hint="eastAsia" w:eastAsia="宋体"/>
          <w:b w:val="0"/>
          <w:bCs w:val="0"/>
          <w:lang w:val="en-US" w:eastAsia="zh-CN"/>
        </w:rPr>
        <w:t>F</w:t>
      </w:r>
      <w:r>
        <w:rPr>
          <w:b w:val="0"/>
          <w:bCs w:val="0"/>
          <w:lang w:val="en-US"/>
        </w:rPr>
        <w:t xml:space="preserve">or </w:t>
      </w:r>
      <w:r>
        <w:rPr>
          <w:rFonts w:hint="eastAsia" w:eastAsia="宋体"/>
          <w:b w:val="0"/>
          <w:bCs w:val="0"/>
          <w:lang w:val="en-US" w:eastAsia="zh-CN"/>
        </w:rPr>
        <w:t xml:space="preserve">DL </w:t>
      </w:r>
      <w:r>
        <w:rPr>
          <w:b w:val="0"/>
          <w:bCs w:val="0"/>
          <w:lang w:val="en-US"/>
        </w:rPr>
        <w:t>multiple</w:t>
      </w:r>
      <w:r>
        <w:rPr>
          <w:rFonts w:hint="eastAsia" w:eastAsia="宋体"/>
          <w:b w:val="0"/>
          <w:bCs w:val="0"/>
          <w:lang w:val="en-US" w:eastAsia="zh-CN"/>
        </w:rPr>
        <w:t xml:space="preserve"> TB</w:t>
      </w:r>
      <w:r>
        <w:rPr>
          <w:b w:val="0"/>
          <w:bCs w:val="0"/>
          <w:lang w:val="en-US"/>
        </w:rPr>
        <w:t xml:space="preserve"> scheduling</w:t>
      </w:r>
      <w:r>
        <w:rPr>
          <w:rFonts w:hint="eastAsia" w:eastAsia="宋体"/>
          <w:b w:val="0"/>
          <w:bCs w:val="0"/>
          <w:lang w:val="en-US" w:eastAsia="zh-CN"/>
        </w:rPr>
        <w:t xml:space="preserve"> in NB-IoT, there are two cases considering the impact of disabling HARQ feedback on DRX inactivity timer</w:t>
      </w:r>
      <w:r>
        <w:rPr>
          <w:b w:val="0"/>
          <w:bCs w:val="0"/>
          <w:lang w:val="en-US"/>
        </w:rPr>
        <w:t>:</w:t>
      </w:r>
    </w:p>
    <w:p>
      <w:pPr>
        <w:pStyle w:val="17"/>
        <w:overflowPunct/>
        <w:autoSpaceDE/>
        <w:autoSpaceDN/>
        <w:adjustRightInd/>
        <w:spacing w:line="259" w:lineRule="auto"/>
        <w:textAlignment w:val="auto"/>
        <w:rPr>
          <w:rFonts w:hint="eastAsia" w:eastAsia="宋体"/>
          <w:b w:val="0"/>
          <w:bCs w:val="0"/>
          <w:lang w:val="en-US" w:eastAsia="zh-CN"/>
        </w:rPr>
      </w:pPr>
      <w:r>
        <w:rPr>
          <w:rFonts w:hint="eastAsia" w:eastAsia="宋体"/>
          <w:b w:val="0"/>
          <w:bCs w:val="0"/>
          <w:lang w:val="en-US" w:eastAsia="zh-CN"/>
        </w:rPr>
        <w:t xml:space="preserve">   Case1: </w:t>
      </w:r>
      <w:r>
        <w:rPr>
          <w:b w:val="0"/>
          <w:bCs w:val="0"/>
        </w:rPr>
        <w:t>All the HARQ processes corresponding to the scheduled multiple TBs are configured with disabled HARQ feedback</w:t>
      </w:r>
      <w:r>
        <w:rPr>
          <w:rFonts w:hint="eastAsia" w:eastAsia="宋体"/>
          <w:b w:val="0"/>
          <w:bCs w:val="0"/>
          <w:lang w:val="en-US" w:eastAsia="zh-CN"/>
        </w:rPr>
        <w:t>.</w:t>
      </w:r>
    </w:p>
    <w:p>
      <w:pPr>
        <w:pStyle w:val="17"/>
        <w:overflowPunct/>
        <w:autoSpaceDE/>
        <w:autoSpaceDN/>
        <w:adjustRightInd/>
        <w:spacing w:line="259" w:lineRule="auto"/>
        <w:textAlignment w:val="auto"/>
        <w:rPr>
          <w:rFonts w:hint="eastAsia" w:eastAsia="宋体"/>
          <w:b w:val="0"/>
          <w:bCs w:val="0"/>
          <w:lang w:val="en-US" w:eastAsia="zh-CN"/>
        </w:rPr>
      </w:pPr>
      <w:r>
        <w:rPr>
          <w:rFonts w:hint="eastAsia" w:eastAsia="宋体"/>
          <w:b w:val="0"/>
          <w:bCs w:val="0"/>
          <w:lang w:val="en-US" w:eastAsia="zh-CN"/>
        </w:rPr>
        <w:t xml:space="preserve">   Case2: </w:t>
      </w:r>
      <w:r>
        <w:rPr>
          <w:b w:val="0"/>
          <w:bCs w:val="0"/>
        </w:rPr>
        <w:t>Some of the HARQ processes corresponding to the scheduled multiple TBs are configured with disabled HARQ feedback, while others are configured with enabled HARQ feedback</w:t>
      </w:r>
      <w:r>
        <w:rPr>
          <w:rFonts w:hint="eastAsia" w:eastAsia="宋体"/>
          <w:b w:val="0"/>
          <w:bCs w:val="0"/>
          <w:lang w:val="en-US" w:eastAsia="zh-CN"/>
        </w:rPr>
        <w:t>.</w:t>
      </w:r>
    </w:p>
    <w:p>
      <w:pPr>
        <w:pStyle w:val="15"/>
        <w:numPr>
          <w:ilvl w:val="-1"/>
          <w:numId w:val="0"/>
        </w:numPr>
        <w:ind w:left="0" w:firstLine="0"/>
        <w:rPr>
          <w:rFonts w:hint="eastAsia" w:eastAsia="宋体"/>
          <w:b w:val="0"/>
          <w:bCs w:val="0"/>
          <w:lang w:val="en-US" w:eastAsia="zh-CN"/>
        </w:rPr>
      </w:pPr>
      <w:r>
        <w:rPr>
          <w:rFonts w:hint="eastAsia" w:eastAsia="宋体"/>
          <w:b w:val="0"/>
          <w:bCs w:val="0"/>
          <w:lang w:val="en-US" w:eastAsia="zh-CN"/>
        </w:rPr>
        <w:t xml:space="preserve">For the first case, it has been agreed in last meeting that </w:t>
      </w:r>
      <w:r>
        <w:rPr>
          <w:b w:val="0"/>
          <w:bCs w:val="0"/>
        </w:rPr>
        <w:t>if both HARQ processes are with disabled HARQ feedback, UE starts drx-InactivityTimer in the subframe containing the last repetition of the PDSCH corresponding to the last scheduled TB plus 12 subframes plus deltaPDCCH.</w:t>
      </w:r>
      <w:r>
        <w:rPr>
          <w:rFonts w:hint="eastAsia" w:eastAsia="宋体"/>
          <w:b w:val="0"/>
          <w:bCs w:val="0"/>
          <w:lang w:val="en-US" w:eastAsia="zh-CN"/>
        </w:rPr>
        <w:t xml:space="preserve"> This allows UE to monitor PDCCH after PDSCH reception. For the second case, there are some companys proposed that if only one of the HARQ processes is configured with disabled HARQ feedback, UE should also starts drx-InactivityTimer in the subframe containing the last repetition of the PDSCH corresponding to the last scheduled TB plus 12 subframes plus deltaPDCCH, thus the same action as the all disabled HARQ feedback case. While some other companys think this is unnecessary optimization as for the HARQ feedback disabled process, it can just follow legacy behavior and rely on some other DRX active timers(onDurationTimer/</w:t>
      </w:r>
      <w:bookmarkStart w:id="1" w:name="OLE_LINK1"/>
      <w:r>
        <w:rPr>
          <w:rFonts w:hint="eastAsia" w:eastAsia="宋体"/>
          <w:b w:val="0"/>
          <w:bCs w:val="0"/>
          <w:lang w:val="en-US" w:eastAsia="zh-CN"/>
        </w:rPr>
        <w:t>drx-InactivityTimer/drx-RetransmissionTime</w:t>
      </w:r>
      <w:bookmarkEnd w:id="1"/>
      <w:r>
        <w:rPr>
          <w:rFonts w:hint="eastAsia" w:eastAsia="宋体"/>
          <w:b w:val="0"/>
          <w:bCs w:val="0"/>
          <w:lang w:val="en-US" w:eastAsia="zh-CN"/>
        </w:rPr>
        <w:t>r) to monitor PDCCH. Howerver as indicated by the spec, the drx-InactivityTimer and drx-RetransmissionTimer will be stopped for the multiple TB scheduling scenario, the UE will only rely on onDurationTimer for PDCCH monitoring which will reduce the benefit of HARQ feedback disableing. So, for the mixed HARQ feedback case, the UE should follow the all disabled HARQ feedback case.</w:t>
      </w:r>
    </w:p>
    <w:p>
      <w:pPr>
        <w:pStyle w:val="16"/>
        <w:ind w:left="0" w:firstLine="0"/>
        <w:rPr>
          <w:rFonts w:hint="default"/>
          <w:lang w:val="en-US" w:eastAsia="zh-CN"/>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r>
        <w:rPr>
          <w:rFonts w:hint="eastAsia" w:ascii="Times New Roman" w:hAnsi="Times New Roman" w:cs="Times New Roman"/>
          <w:sz w:val="21"/>
          <w:szCs w:val="20"/>
          <w:lang w:val="en-US" w:eastAsia="zh-CN"/>
        </w:rPr>
        <w:t>.</w:t>
      </w:r>
    </w:p>
    <w:p>
      <w:pPr>
        <w:pStyle w:val="17"/>
        <w:overflowPunct/>
        <w:autoSpaceDE/>
        <w:autoSpaceDN/>
        <w:adjustRightInd/>
        <w:spacing w:line="259" w:lineRule="auto"/>
        <w:textAlignment w:val="auto"/>
        <w:rPr>
          <w:rFonts w:hint="default" w:eastAsia="宋体"/>
          <w:b/>
          <w:lang w:val="en-US" w:eastAsia="zh-CN"/>
        </w:rPr>
      </w:pPr>
    </w:p>
    <w:p>
      <w:pPr>
        <w:numPr>
          <w:ilvl w:val="0"/>
          <w:numId w:val="0"/>
        </w:numPr>
        <w:ind w:leftChars="0"/>
        <w:jc w:val="both"/>
        <w:rPr>
          <w:rFonts w:hint="eastAsia" w:eastAsia="宋体"/>
          <w:b w:val="0"/>
          <w:bCs w:val="0"/>
          <w:lang w:val="en-US" w:eastAsia="zh-CN"/>
        </w:rPr>
      </w:pPr>
      <w:r>
        <w:rPr>
          <w:rFonts w:hint="eastAsia" w:eastAsia="宋体"/>
          <w:b w:val="0"/>
          <w:bCs w:val="0"/>
          <w:lang w:val="en-US" w:eastAsia="zh-CN"/>
        </w:rPr>
        <w:t>F</w:t>
      </w:r>
      <w:r>
        <w:rPr>
          <w:b w:val="0"/>
          <w:bCs w:val="0"/>
          <w:lang w:val="en-US"/>
        </w:rPr>
        <w:t xml:space="preserve">or </w:t>
      </w:r>
      <w:r>
        <w:rPr>
          <w:rFonts w:hint="eastAsia" w:eastAsia="宋体"/>
          <w:b w:val="0"/>
          <w:bCs w:val="0"/>
          <w:lang w:val="en-US" w:eastAsia="zh-CN"/>
        </w:rPr>
        <w:t xml:space="preserve">UL </w:t>
      </w:r>
      <w:r>
        <w:rPr>
          <w:b w:val="0"/>
          <w:bCs w:val="0"/>
          <w:lang w:val="en-US"/>
        </w:rPr>
        <w:t>multiple</w:t>
      </w:r>
      <w:r>
        <w:rPr>
          <w:rFonts w:hint="eastAsia" w:eastAsia="宋体"/>
          <w:b w:val="0"/>
          <w:bCs w:val="0"/>
          <w:lang w:val="en-US" w:eastAsia="zh-CN"/>
        </w:rPr>
        <w:t xml:space="preserve"> TB</w:t>
      </w:r>
      <w:r>
        <w:rPr>
          <w:b w:val="0"/>
          <w:bCs w:val="0"/>
          <w:lang w:val="en-US"/>
        </w:rPr>
        <w:t xml:space="preserve"> scheduling</w:t>
      </w:r>
      <w:r>
        <w:rPr>
          <w:rFonts w:hint="eastAsia" w:eastAsia="宋体"/>
          <w:b w:val="0"/>
          <w:bCs w:val="0"/>
          <w:lang w:val="en-US" w:eastAsia="zh-CN"/>
        </w:rPr>
        <w:t xml:space="preserve"> with mix HARQ mode in NB-IoT, simiar as DL, if only one of the HARQ processes is configured with HARQ mode B, UE starts drx-InactivityTimer in the subframe containing the last repetition of the PUSCH corresponding to the last scheduled TB plus 1 subframe plus deltaPDCCH.</w:t>
      </w:r>
    </w:p>
    <w:p>
      <w:pPr>
        <w:numPr>
          <w:ilvl w:val="0"/>
          <w:numId w:val="0"/>
        </w:numPr>
        <w:ind w:leftChars="0"/>
        <w:jc w:val="both"/>
        <w:rPr>
          <w:rFonts w:hint="eastAsia" w:eastAsia="宋体"/>
          <w:b w:val="0"/>
          <w:bCs w:val="0"/>
          <w:lang w:val="en-US" w:eastAsia="zh-CN"/>
        </w:rPr>
      </w:pPr>
    </w:p>
    <w:p>
      <w:pPr>
        <w:pStyle w:val="17"/>
        <w:numPr>
          <w:ilvl w:val="0"/>
          <w:numId w:val="5"/>
        </w:numPr>
        <w:overflowPunct/>
        <w:autoSpaceDE/>
        <w:autoSpaceDN/>
        <w:adjustRightInd/>
        <w:spacing w:line="259" w:lineRule="auto"/>
        <w:textAlignment w:val="auto"/>
        <w:rPr>
          <w:rFonts w:ascii="Arial" w:hAnsi="Arial" w:eastAsia="宋体" w:cs="Times New Roman"/>
          <w:b/>
          <w:bCs/>
          <w:lang w:val="en-GB" w:eastAsia="zh-CN" w:bidi="ar-SA"/>
        </w:rPr>
      </w:pPr>
      <w:r>
        <w:rPr>
          <w:rFonts w:ascii="Arial" w:hAnsi="Arial" w:eastAsia="宋体" w:cs="Times New Roman"/>
          <w:b/>
          <w:bCs/>
          <w:lang w:val="en-GB" w:eastAsia="zh-CN" w:bidi="ar-SA"/>
        </w:rPr>
        <w:t>For UL multiple TB scheduling for a NB-I</w:t>
      </w:r>
      <w:r>
        <w:rPr>
          <w:rFonts w:hint="eastAsia" w:ascii="Arial" w:hAnsi="Arial" w:eastAsia="宋体" w:cs="Times New Roman"/>
          <w:b/>
          <w:bCs/>
          <w:lang w:val="en-GB" w:eastAsia="zh-CN" w:bidi="ar-SA"/>
        </w:rPr>
        <w:t>o</w:t>
      </w:r>
      <w:r>
        <w:rPr>
          <w:rFonts w:ascii="Arial" w:hAnsi="Arial" w:eastAsia="宋体" w:cs="Times New Roman"/>
          <w:b/>
          <w:bCs/>
          <w:lang w:val="en-GB" w:eastAsia="zh-CN" w:bidi="ar-SA"/>
        </w:rPr>
        <w:t>T UE, if only one of the HARQ processes is configured with HARQ mode B, UE starts drx-InactivityTimer in the subframe containing the last repetition of the PUSCH corresponding to the last scheduled TB plus 1 subframe plus deltaPDCCH.</w:t>
      </w:r>
    </w:p>
    <w:p>
      <w:pPr>
        <w:numPr>
          <w:ilvl w:val="0"/>
          <w:numId w:val="0"/>
        </w:numPr>
        <w:ind w:leftChars="0"/>
        <w:jc w:val="both"/>
        <w:rPr>
          <w:rFonts w:hint="eastAsia" w:eastAsia="宋体"/>
          <w:b w:val="0"/>
          <w:bCs w:val="0"/>
          <w:lang w:val="en-US" w:eastAsia="zh-CN"/>
        </w:rPr>
      </w:pP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1"/>
          <w:numId w:val="0"/>
        </w:numPr>
        <w:overflowPunct/>
        <w:autoSpaceDE/>
        <w:autoSpaceDN/>
        <w:adjustRightInd/>
        <w:spacing w:line="259" w:lineRule="auto"/>
        <w:ind w:left="0" w:firstLine="0"/>
        <w:jc w:val="both"/>
        <w:textAlignment w:val="auto"/>
        <w:rPr>
          <w:rFonts w:hint="eastAsia" w:ascii="Times New Roman" w:hAnsi="Times New Roman" w:cs="Times New Roman"/>
          <w:sz w:val="21"/>
          <w:szCs w:val="20"/>
          <w:lang w:val="en-US" w:eastAsia="zh-CN"/>
        </w:rPr>
      </w:pPr>
      <w:r>
        <w:rPr>
          <w:rFonts w:hint="eastAsia" w:eastAsia="宋体"/>
          <w:lang w:val="en-US" w:eastAsia="zh-CN"/>
        </w:rPr>
        <w:t xml:space="preserve">Proposal 1  </w:t>
      </w:r>
      <w:r>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r>
        <w:rPr>
          <w:rFonts w:hint="eastAsia" w:ascii="Times New Roman" w:hAnsi="Times New Roman" w:cs="Times New Roman"/>
          <w:sz w:val="21"/>
          <w:szCs w:val="20"/>
          <w:lang w:val="en-US" w:eastAsia="zh-CN"/>
        </w:rPr>
        <w:t>.</w:t>
      </w:r>
    </w:p>
    <w:p>
      <w:pPr>
        <w:pStyle w:val="17"/>
        <w:numPr>
          <w:ilvl w:val="-1"/>
          <w:numId w:val="0"/>
        </w:numPr>
        <w:overflowPunct/>
        <w:autoSpaceDE/>
        <w:autoSpaceDN/>
        <w:adjustRightInd/>
        <w:spacing w:line="259" w:lineRule="auto"/>
        <w:ind w:left="0" w:firstLine="0"/>
        <w:jc w:val="both"/>
        <w:textAlignment w:val="auto"/>
        <w:rPr>
          <w:rFonts w:hint="eastAsia" w:ascii="Times New Roman" w:hAnsi="Times New Roman" w:cs="Times New Roman"/>
          <w:sz w:val="21"/>
          <w:szCs w:val="20"/>
          <w:lang w:val="en-US" w:eastAsia="zh-CN"/>
        </w:rPr>
      </w:pPr>
    </w:p>
    <w:p>
      <w:pPr>
        <w:pStyle w:val="17"/>
        <w:numPr>
          <w:ilvl w:val="0"/>
          <w:numId w:val="0"/>
        </w:numPr>
        <w:overflowPunct/>
        <w:autoSpaceDE/>
        <w:autoSpaceDN/>
        <w:adjustRightInd/>
        <w:spacing w:line="259" w:lineRule="auto"/>
        <w:ind w:leftChars="0"/>
        <w:textAlignment w:val="auto"/>
        <w:rPr>
          <w:rFonts w:ascii="Arial" w:hAnsi="Arial" w:eastAsia="宋体" w:cs="Times New Roman"/>
          <w:b/>
          <w:bCs/>
          <w:lang w:val="en-GB" w:eastAsia="zh-CN" w:bidi="ar-SA"/>
        </w:rPr>
      </w:pPr>
      <w:r>
        <w:rPr>
          <w:rFonts w:hint="eastAsia" w:eastAsia="宋体"/>
          <w:lang w:val="en-US" w:eastAsia="zh-CN"/>
        </w:rPr>
        <w:t xml:space="preserve">Proposal 2  </w:t>
      </w:r>
      <w:r>
        <w:rPr>
          <w:rFonts w:ascii="Arial" w:hAnsi="Arial" w:eastAsia="宋体" w:cs="Times New Roman"/>
          <w:b/>
          <w:bCs/>
          <w:lang w:val="en-GB" w:eastAsia="zh-CN" w:bidi="ar-SA"/>
        </w:rPr>
        <w:t>For UL multiple TB scheduling for a NB-I</w:t>
      </w:r>
      <w:r>
        <w:rPr>
          <w:rFonts w:hint="eastAsia" w:ascii="Arial" w:hAnsi="Arial" w:eastAsia="宋体" w:cs="Times New Roman"/>
          <w:b/>
          <w:bCs/>
          <w:lang w:val="en-GB" w:eastAsia="zh-CN" w:bidi="ar-SA"/>
        </w:rPr>
        <w:t>o</w:t>
      </w:r>
      <w:r>
        <w:rPr>
          <w:rFonts w:ascii="Arial" w:hAnsi="Arial" w:eastAsia="宋体" w:cs="Times New Roman"/>
          <w:b/>
          <w:bCs/>
          <w:lang w:val="en-GB" w:eastAsia="zh-CN" w:bidi="ar-SA"/>
        </w:rPr>
        <w:t>T UE, if only one of the HARQ processes is configured with HARQ mode B, UE starts drx-InactivityTimer in the subframe containing the last repetition of the PUSCH corresponding to the last scheduled TB plus 1 subframe plus deltaPDCCH.</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Draft_R2_124_Meeting_Report_v1.docx</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4260242D"/>
    <w:multiLevelType w:val="multilevel"/>
    <w:tmpl w:val="4260242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7625C7"/>
    <w:rsid w:val="01BC413C"/>
    <w:rsid w:val="026B101C"/>
    <w:rsid w:val="026D6078"/>
    <w:rsid w:val="02F16840"/>
    <w:rsid w:val="03FA4B3F"/>
    <w:rsid w:val="0441406B"/>
    <w:rsid w:val="049342E7"/>
    <w:rsid w:val="04A63BBE"/>
    <w:rsid w:val="04BA00BC"/>
    <w:rsid w:val="05A17499"/>
    <w:rsid w:val="05F02177"/>
    <w:rsid w:val="063E6DCB"/>
    <w:rsid w:val="06AD14D1"/>
    <w:rsid w:val="074434AD"/>
    <w:rsid w:val="077E1DF5"/>
    <w:rsid w:val="08705469"/>
    <w:rsid w:val="0871778C"/>
    <w:rsid w:val="09242B66"/>
    <w:rsid w:val="09AA20D3"/>
    <w:rsid w:val="09C8159B"/>
    <w:rsid w:val="0A083CCF"/>
    <w:rsid w:val="0A296EBB"/>
    <w:rsid w:val="0C480592"/>
    <w:rsid w:val="0C8B3F6C"/>
    <w:rsid w:val="0CDF38AA"/>
    <w:rsid w:val="0CFB2676"/>
    <w:rsid w:val="0D086537"/>
    <w:rsid w:val="0D701E08"/>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51764BF"/>
    <w:rsid w:val="16162911"/>
    <w:rsid w:val="161A2980"/>
    <w:rsid w:val="16231D84"/>
    <w:rsid w:val="166A6E0A"/>
    <w:rsid w:val="16AF5E9F"/>
    <w:rsid w:val="16FF7648"/>
    <w:rsid w:val="172B15A5"/>
    <w:rsid w:val="17A24952"/>
    <w:rsid w:val="17AE7B7C"/>
    <w:rsid w:val="18891BE5"/>
    <w:rsid w:val="18C4408C"/>
    <w:rsid w:val="19033124"/>
    <w:rsid w:val="190C3624"/>
    <w:rsid w:val="19120992"/>
    <w:rsid w:val="192B61EE"/>
    <w:rsid w:val="19CF1F1C"/>
    <w:rsid w:val="19FC3902"/>
    <w:rsid w:val="1B0106E1"/>
    <w:rsid w:val="1B4F2E04"/>
    <w:rsid w:val="1B5D02DF"/>
    <w:rsid w:val="1B7F05AA"/>
    <w:rsid w:val="1BB5656E"/>
    <w:rsid w:val="1C651C0C"/>
    <w:rsid w:val="1D5C422C"/>
    <w:rsid w:val="1D72553F"/>
    <w:rsid w:val="1DB61295"/>
    <w:rsid w:val="1E837BE2"/>
    <w:rsid w:val="1FF75154"/>
    <w:rsid w:val="205D2601"/>
    <w:rsid w:val="21272772"/>
    <w:rsid w:val="217D10FE"/>
    <w:rsid w:val="218C3C37"/>
    <w:rsid w:val="21A07045"/>
    <w:rsid w:val="21DC5F44"/>
    <w:rsid w:val="22E661B8"/>
    <w:rsid w:val="22ED4EA9"/>
    <w:rsid w:val="2311372E"/>
    <w:rsid w:val="2331317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941444C"/>
    <w:rsid w:val="29523E43"/>
    <w:rsid w:val="2982756F"/>
    <w:rsid w:val="299E3F8A"/>
    <w:rsid w:val="2ABE6C52"/>
    <w:rsid w:val="2ABF7B59"/>
    <w:rsid w:val="2B1B574F"/>
    <w:rsid w:val="2C151E25"/>
    <w:rsid w:val="2CFA3372"/>
    <w:rsid w:val="2D64575D"/>
    <w:rsid w:val="2ECA078E"/>
    <w:rsid w:val="2EDC2122"/>
    <w:rsid w:val="2EEC38EF"/>
    <w:rsid w:val="2F4F1C42"/>
    <w:rsid w:val="2FCB0EFA"/>
    <w:rsid w:val="3038562B"/>
    <w:rsid w:val="306127E8"/>
    <w:rsid w:val="307C700A"/>
    <w:rsid w:val="30F35CF8"/>
    <w:rsid w:val="315E520F"/>
    <w:rsid w:val="319D2E0A"/>
    <w:rsid w:val="31F027DF"/>
    <w:rsid w:val="32BB6C22"/>
    <w:rsid w:val="33031B19"/>
    <w:rsid w:val="33DE5E56"/>
    <w:rsid w:val="34682BF9"/>
    <w:rsid w:val="34FC34CD"/>
    <w:rsid w:val="354C6CDB"/>
    <w:rsid w:val="36913EB9"/>
    <w:rsid w:val="36E43987"/>
    <w:rsid w:val="37F326F9"/>
    <w:rsid w:val="38263F63"/>
    <w:rsid w:val="38277C4F"/>
    <w:rsid w:val="387554D3"/>
    <w:rsid w:val="3885080A"/>
    <w:rsid w:val="38A038DB"/>
    <w:rsid w:val="38AA0169"/>
    <w:rsid w:val="38B33F69"/>
    <w:rsid w:val="39E010B6"/>
    <w:rsid w:val="39EF7A8E"/>
    <w:rsid w:val="3A3F7324"/>
    <w:rsid w:val="3A7C338E"/>
    <w:rsid w:val="3AC13929"/>
    <w:rsid w:val="3B7F12E7"/>
    <w:rsid w:val="3BD561D8"/>
    <w:rsid w:val="3BE31C32"/>
    <w:rsid w:val="3C752CAA"/>
    <w:rsid w:val="3C872072"/>
    <w:rsid w:val="3C93695A"/>
    <w:rsid w:val="3CCF2B82"/>
    <w:rsid w:val="3F3A2108"/>
    <w:rsid w:val="402D6EED"/>
    <w:rsid w:val="40572BA6"/>
    <w:rsid w:val="40575782"/>
    <w:rsid w:val="405B3D86"/>
    <w:rsid w:val="40987E39"/>
    <w:rsid w:val="41A229C0"/>
    <w:rsid w:val="41FA152C"/>
    <w:rsid w:val="421B5540"/>
    <w:rsid w:val="427F40C3"/>
    <w:rsid w:val="433F51D5"/>
    <w:rsid w:val="43F1148F"/>
    <w:rsid w:val="440B0F36"/>
    <w:rsid w:val="446E3F52"/>
    <w:rsid w:val="44724F1D"/>
    <w:rsid w:val="448E1E9E"/>
    <w:rsid w:val="44D90FC8"/>
    <w:rsid w:val="44DD285F"/>
    <w:rsid w:val="44F70184"/>
    <w:rsid w:val="45052547"/>
    <w:rsid w:val="45982D3F"/>
    <w:rsid w:val="466B78DE"/>
    <w:rsid w:val="47755220"/>
    <w:rsid w:val="47B4251A"/>
    <w:rsid w:val="47B61984"/>
    <w:rsid w:val="47CC5B84"/>
    <w:rsid w:val="48224C4E"/>
    <w:rsid w:val="48D47265"/>
    <w:rsid w:val="497A2805"/>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5D4828"/>
    <w:rsid w:val="512637BE"/>
    <w:rsid w:val="51292B01"/>
    <w:rsid w:val="512C578B"/>
    <w:rsid w:val="513F69E1"/>
    <w:rsid w:val="52731D06"/>
    <w:rsid w:val="529A7957"/>
    <w:rsid w:val="53EA6F9A"/>
    <w:rsid w:val="53F070C1"/>
    <w:rsid w:val="545D2BA8"/>
    <w:rsid w:val="54A934E9"/>
    <w:rsid w:val="54F44BA6"/>
    <w:rsid w:val="55B4202C"/>
    <w:rsid w:val="55C500DF"/>
    <w:rsid w:val="55DA4CD9"/>
    <w:rsid w:val="56870F30"/>
    <w:rsid w:val="569228A9"/>
    <w:rsid w:val="56F007AB"/>
    <w:rsid w:val="58774338"/>
    <w:rsid w:val="5A0B65E0"/>
    <w:rsid w:val="5A4B4D4E"/>
    <w:rsid w:val="5A6C32D7"/>
    <w:rsid w:val="5B854011"/>
    <w:rsid w:val="5C5D662E"/>
    <w:rsid w:val="5D1B6016"/>
    <w:rsid w:val="5D53233E"/>
    <w:rsid w:val="5D54635C"/>
    <w:rsid w:val="5D5B1B63"/>
    <w:rsid w:val="5E032063"/>
    <w:rsid w:val="5E3C4F06"/>
    <w:rsid w:val="5EA25936"/>
    <w:rsid w:val="5EE34F16"/>
    <w:rsid w:val="5EF55435"/>
    <w:rsid w:val="5EF7417A"/>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70270C"/>
    <w:rsid w:val="67E57609"/>
    <w:rsid w:val="68136DF9"/>
    <w:rsid w:val="68467009"/>
    <w:rsid w:val="685A4CFC"/>
    <w:rsid w:val="68835C7D"/>
    <w:rsid w:val="68843869"/>
    <w:rsid w:val="68B056ED"/>
    <w:rsid w:val="68D74AB5"/>
    <w:rsid w:val="69957377"/>
    <w:rsid w:val="6A1D554E"/>
    <w:rsid w:val="6A227A14"/>
    <w:rsid w:val="6A2A1BFB"/>
    <w:rsid w:val="6B230E25"/>
    <w:rsid w:val="6B5F3459"/>
    <w:rsid w:val="6BBD35E1"/>
    <w:rsid w:val="6BD84F85"/>
    <w:rsid w:val="6D18674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7E058FB"/>
    <w:rsid w:val="78071F72"/>
    <w:rsid w:val="78774C15"/>
    <w:rsid w:val="78827AE1"/>
    <w:rsid w:val="78AE26CF"/>
    <w:rsid w:val="799465E1"/>
    <w:rsid w:val="79A36E38"/>
    <w:rsid w:val="79D35A65"/>
    <w:rsid w:val="79DF4049"/>
    <w:rsid w:val="7A102ABD"/>
    <w:rsid w:val="7A2F2424"/>
    <w:rsid w:val="7B24076C"/>
    <w:rsid w:val="7B764BBF"/>
    <w:rsid w:val="7B7A37E2"/>
    <w:rsid w:val="7B84483F"/>
    <w:rsid w:val="7C1164A2"/>
    <w:rsid w:val="7C5B2870"/>
    <w:rsid w:val="7CB960BC"/>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2024-02-19T01:30:52Z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